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7F59EE">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2018年</w:t>
      </w:r>
    </w:p>
    <w:p w:rsidR="007F59EE" w:rsidRDefault="007F59EE" w:rsidP="007F59EE">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河源理工学校部门预算</w:t>
      </w: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7F59EE" w:rsidRDefault="007F59EE" w:rsidP="00C14DBF">
      <w:pPr>
        <w:pStyle w:val="a3"/>
        <w:shd w:val="clear" w:color="auto" w:fill="FFFFFF"/>
        <w:spacing w:before="0" w:beforeAutospacing="0" w:after="0" w:afterAutospacing="0" w:line="450" w:lineRule="atLeast"/>
        <w:jc w:val="center"/>
        <w:rPr>
          <w:sz w:val="44"/>
          <w:szCs w:val="44"/>
        </w:rPr>
      </w:pPr>
    </w:p>
    <w:p w:rsidR="00C14DBF" w:rsidRDefault="00C14DBF" w:rsidP="00C14DBF">
      <w:pPr>
        <w:pStyle w:val="a3"/>
        <w:shd w:val="clear" w:color="auto" w:fill="FFFFFF"/>
        <w:spacing w:before="0" w:beforeAutospacing="0" w:after="0" w:afterAutospacing="0" w:line="450" w:lineRule="atLeast"/>
        <w:jc w:val="center"/>
        <w:rPr>
          <w:rFonts w:ascii="Calibri" w:hAnsi="Calibri" w:cs="Calibri"/>
          <w:sz w:val="21"/>
          <w:szCs w:val="21"/>
        </w:rPr>
      </w:pPr>
      <w:r>
        <w:rPr>
          <w:rFonts w:hint="eastAsia"/>
          <w:sz w:val="44"/>
          <w:szCs w:val="44"/>
        </w:rPr>
        <w:lastRenderedPageBreak/>
        <w:t> </w:t>
      </w:r>
      <w:r>
        <w:rPr>
          <w:rFonts w:ascii="方正小标宋简体" w:eastAsia="方正小标宋简体" w:hAnsi="Calibri" w:cs="Calibri" w:hint="eastAsia"/>
          <w:sz w:val="44"/>
          <w:szCs w:val="44"/>
        </w:rPr>
        <w:t>目 录</w:t>
      </w:r>
    </w:p>
    <w:p w:rsidR="00C14DBF" w:rsidRDefault="00C14DBF" w:rsidP="00C14DBF">
      <w:pPr>
        <w:pStyle w:val="a3"/>
        <w:shd w:val="clear" w:color="auto" w:fill="FFFFFF"/>
        <w:spacing w:before="0" w:beforeAutospacing="0" w:after="0" w:afterAutospacing="0" w:line="450" w:lineRule="atLeast"/>
        <w:jc w:val="center"/>
        <w:rPr>
          <w:rFonts w:ascii="Calibri" w:hAnsi="Calibri" w:cs="Calibri"/>
          <w:sz w:val="21"/>
          <w:szCs w:val="21"/>
        </w:rPr>
      </w:pPr>
      <w:r>
        <w:rPr>
          <w:rFonts w:hint="eastAsia"/>
          <w:sz w:val="44"/>
          <w:szCs w:val="44"/>
        </w:rPr>
        <w:t> </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黑体" w:eastAsia="黑体" w:hAnsi="黑体" w:cs="Calibri" w:hint="eastAsia"/>
          <w:sz w:val="32"/>
          <w:szCs w:val="32"/>
        </w:rPr>
        <w:t>第一部分</w:t>
      </w:r>
      <w:r>
        <w:rPr>
          <w:rFonts w:hint="eastAsia"/>
          <w:sz w:val="32"/>
          <w:szCs w:val="32"/>
        </w:rPr>
        <w:t> </w:t>
      </w:r>
      <w:r>
        <w:rPr>
          <w:rFonts w:ascii="黑体" w:eastAsia="黑体" w:hAnsi="黑体" w:cs="黑体" w:hint="eastAsia"/>
          <w:sz w:val="32"/>
          <w:szCs w:val="32"/>
        </w:rPr>
        <w:t xml:space="preserve"> </w:t>
      </w:r>
      <w:r>
        <w:rPr>
          <w:rFonts w:ascii="黑体" w:eastAsia="黑体" w:hAnsi="黑体" w:cs="Calibri" w:hint="eastAsia"/>
          <w:sz w:val="32"/>
          <w:szCs w:val="32"/>
        </w:rPr>
        <w:t>河源理工学校概况</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一、主要职责</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二、机构设置</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黑体" w:eastAsia="黑体" w:hAnsi="黑体" w:cs="Calibri" w:hint="eastAsia"/>
          <w:sz w:val="32"/>
          <w:szCs w:val="32"/>
        </w:rPr>
        <w:t>第二部分</w:t>
      </w:r>
      <w:r>
        <w:rPr>
          <w:rFonts w:hint="eastAsia"/>
          <w:sz w:val="32"/>
          <w:szCs w:val="32"/>
        </w:rPr>
        <w:t> </w:t>
      </w:r>
      <w:r>
        <w:rPr>
          <w:rFonts w:ascii="黑体" w:eastAsia="黑体" w:hAnsi="黑体" w:cs="黑体" w:hint="eastAsia"/>
          <w:sz w:val="32"/>
          <w:szCs w:val="32"/>
        </w:rPr>
        <w:t xml:space="preserve"> </w:t>
      </w:r>
      <w:r>
        <w:rPr>
          <w:rFonts w:ascii="黑体" w:eastAsia="黑体" w:hAnsi="黑体" w:cs="Calibri" w:hint="eastAsia"/>
          <w:sz w:val="32"/>
          <w:szCs w:val="32"/>
        </w:rPr>
        <w:t>河源理工学校部门预算表</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一、收支总体情况表</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二、收入总体情况表</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三、支出总体情况表</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四、财政拨款收支总体情况表</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五、一般公共预算支出情况表（按功能分类科目）</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六、一般公共预算基本支出情况表（按支出经济分类科目）</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七、一般公共预算项目支出情况表（按支出经济分类科目）</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八、一般公共预算安排的行政经费及“三公”经费预算表</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九、政府性基金预算支出情况表</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十、部门预算基本支出预算表</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十一、部门预算项目支出及其他支出预算表</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黑体" w:eastAsia="黑体" w:hAnsi="黑体" w:cs="Calibri" w:hint="eastAsia"/>
          <w:sz w:val="32"/>
          <w:szCs w:val="32"/>
        </w:rPr>
        <w:t>第三部分</w:t>
      </w:r>
      <w:r>
        <w:rPr>
          <w:rFonts w:hint="eastAsia"/>
          <w:sz w:val="32"/>
          <w:szCs w:val="32"/>
        </w:rPr>
        <w:t> </w:t>
      </w:r>
      <w:r>
        <w:rPr>
          <w:rFonts w:ascii="黑体" w:eastAsia="黑体" w:hAnsi="黑体" w:cs="黑体" w:hint="eastAsia"/>
          <w:sz w:val="32"/>
          <w:szCs w:val="32"/>
        </w:rPr>
        <w:t xml:space="preserve"> 2018</w:t>
      </w:r>
      <w:r>
        <w:rPr>
          <w:rFonts w:ascii="黑体" w:eastAsia="黑体" w:hAnsi="黑体" w:cs="Calibri" w:hint="eastAsia"/>
          <w:sz w:val="32"/>
          <w:szCs w:val="32"/>
        </w:rPr>
        <w:t>年部门预算情况说明</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黑体" w:eastAsia="黑体" w:hAnsi="黑体" w:cs="Calibri" w:hint="eastAsia"/>
          <w:sz w:val="32"/>
          <w:szCs w:val="32"/>
        </w:rPr>
        <w:t>第四部分</w:t>
      </w:r>
      <w:r>
        <w:rPr>
          <w:rFonts w:hint="eastAsia"/>
          <w:sz w:val="32"/>
          <w:szCs w:val="32"/>
        </w:rPr>
        <w:t> </w:t>
      </w:r>
      <w:r>
        <w:rPr>
          <w:rFonts w:ascii="黑体" w:eastAsia="黑体" w:hAnsi="黑体" w:cs="黑体" w:hint="eastAsia"/>
          <w:sz w:val="32"/>
          <w:szCs w:val="32"/>
        </w:rPr>
        <w:t xml:space="preserve"> </w:t>
      </w:r>
      <w:r>
        <w:rPr>
          <w:rFonts w:ascii="黑体" w:eastAsia="黑体" w:hAnsi="黑体" w:cs="Calibri" w:hint="eastAsia"/>
          <w:sz w:val="32"/>
          <w:szCs w:val="32"/>
        </w:rPr>
        <w:t>名词解释</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hint="eastAsia"/>
          <w:sz w:val="32"/>
          <w:szCs w:val="32"/>
        </w:rPr>
        <w:lastRenderedPageBreak/>
        <w:t> </w:t>
      </w:r>
    </w:p>
    <w:p w:rsidR="00C14DBF" w:rsidRDefault="00C14DBF" w:rsidP="00C14DBF">
      <w:pPr>
        <w:pStyle w:val="a3"/>
        <w:shd w:val="clear" w:color="auto" w:fill="FFFFFF"/>
        <w:spacing w:before="0" w:beforeAutospacing="0" w:after="0" w:afterAutospacing="0" w:line="450" w:lineRule="atLeast"/>
        <w:jc w:val="center"/>
        <w:rPr>
          <w:rFonts w:ascii="Calibri" w:hAnsi="Calibri" w:cs="Calibri"/>
          <w:sz w:val="21"/>
          <w:szCs w:val="21"/>
        </w:rPr>
      </w:pPr>
      <w:r>
        <w:rPr>
          <w:rFonts w:ascii="方正小标宋简体" w:eastAsia="方正小标宋简体" w:hAnsi="Calibri" w:cs="Calibri" w:hint="eastAsia"/>
          <w:sz w:val="44"/>
          <w:szCs w:val="44"/>
        </w:rPr>
        <w:t>第一部分</w:t>
      </w:r>
      <w:r>
        <w:rPr>
          <w:rFonts w:ascii="方正小标宋简体" w:eastAsia="方正小标宋简体" w:hAnsi="Calibri" w:cs="Calibri" w:hint="eastAsia"/>
          <w:sz w:val="44"/>
          <w:szCs w:val="44"/>
        </w:rPr>
        <w:t> </w:t>
      </w:r>
      <w:r>
        <w:rPr>
          <w:rFonts w:ascii="方正小标宋简体" w:eastAsia="方正小标宋简体" w:hAnsi="Calibri" w:cs="Calibri" w:hint="eastAsia"/>
          <w:sz w:val="44"/>
          <w:szCs w:val="44"/>
        </w:rPr>
        <w:t xml:space="preserve"> 河源理工学校概况</w:t>
      </w:r>
    </w:p>
    <w:p w:rsidR="00C14DBF" w:rsidRDefault="00C14DBF" w:rsidP="00C14DBF">
      <w:pPr>
        <w:pStyle w:val="a3"/>
        <w:shd w:val="clear" w:color="auto" w:fill="FFFFFF"/>
        <w:spacing w:before="0" w:beforeAutospacing="0" w:after="0" w:afterAutospacing="0" w:line="450" w:lineRule="atLeast"/>
        <w:jc w:val="both"/>
        <w:rPr>
          <w:rFonts w:ascii="Calibri" w:hAnsi="Calibri" w:cs="Calibri"/>
          <w:sz w:val="21"/>
          <w:szCs w:val="21"/>
        </w:rPr>
      </w:pPr>
      <w:r>
        <w:rPr>
          <w:rFonts w:hint="eastAsia"/>
          <w:sz w:val="44"/>
          <w:szCs w:val="44"/>
        </w:rPr>
        <w:t> </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黑体" w:eastAsia="黑体" w:hAnsi="黑体" w:cs="Calibri" w:hint="eastAsia"/>
          <w:sz w:val="32"/>
          <w:szCs w:val="32"/>
        </w:rPr>
        <w:t>一、主要职责</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根据河源市机构编制委员会《关于成立河源工业技术学校的批复》（河机编[2009]8号）、《关于河源工业技术学校更名的批复》（河机编[2010]28号）及《关于增加河源理工学校教师编制的批复》（河机编[2012]24号）等批复文件，理工学校成立于2009年，原名“河源工业技术学校”，2010年更名为“河源理工学校”，是河源市教育局管理的副处级单位；</w:t>
      </w:r>
      <w:r w:rsidR="004D7BD3">
        <w:rPr>
          <w:rFonts w:ascii="仿宋" w:eastAsia="仿宋" w:hAnsi="仿宋" w:cs="Calibri" w:hint="eastAsia"/>
          <w:sz w:val="32"/>
          <w:szCs w:val="32"/>
        </w:rPr>
        <w:t>本单位</w:t>
      </w:r>
      <w:r>
        <w:rPr>
          <w:rFonts w:ascii="仿宋" w:eastAsia="仿宋" w:hAnsi="仿宋" w:cs="Calibri" w:hint="eastAsia"/>
          <w:sz w:val="32"/>
          <w:szCs w:val="32"/>
        </w:rPr>
        <w:t>主要职责：承担全市中等职业技术学历教育任务，培养实用型、技能型中等技术人才。</w:t>
      </w:r>
    </w:p>
    <w:p w:rsidR="00C14DBF" w:rsidRDefault="00C14DBF" w:rsidP="00C14DBF">
      <w:pPr>
        <w:pStyle w:val="a3"/>
        <w:shd w:val="clear" w:color="auto" w:fill="FFFFFF"/>
        <w:spacing w:before="0" w:beforeAutospacing="0" w:after="0" w:afterAutospacing="0" w:line="450" w:lineRule="atLeast"/>
        <w:jc w:val="both"/>
        <w:rPr>
          <w:rFonts w:ascii="Calibri" w:hAnsi="Calibri" w:cs="Calibri"/>
          <w:sz w:val="21"/>
          <w:szCs w:val="21"/>
        </w:rPr>
      </w:pPr>
      <w:r>
        <w:rPr>
          <w:rFonts w:hint="eastAsia"/>
          <w:sz w:val="32"/>
          <w:szCs w:val="32"/>
        </w:rPr>
        <w:t>   </w:t>
      </w:r>
      <w:r>
        <w:rPr>
          <w:rFonts w:ascii="黑体" w:eastAsia="黑体" w:hAnsi="黑体" w:cs="黑体" w:hint="eastAsia"/>
          <w:sz w:val="32"/>
          <w:szCs w:val="32"/>
        </w:rPr>
        <w:t xml:space="preserve"> </w:t>
      </w:r>
      <w:r>
        <w:rPr>
          <w:rFonts w:ascii="黑体" w:eastAsia="黑体" w:hAnsi="黑体" w:cs="Calibri" w:hint="eastAsia"/>
          <w:sz w:val="32"/>
          <w:szCs w:val="32"/>
        </w:rPr>
        <w:t>二、机构设置</w:t>
      </w:r>
    </w:p>
    <w:p w:rsidR="00C14DBF" w:rsidRDefault="004D7BD3"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（一）本单位</w:t>
      </w:r>
      <w:r w:rsidR="00533F7D">
        <w:rPr>
          <w:rFonts w:ascii="仿宋" w:eastAsia="仿宋" w:hAnsi="仿宋" w:cs="Calibri" w:hint="eastAsia"/>
          <w:sz w:val="32"/>
          <w:szCs w:val="32"/>
        </w:rPr>
        <w:t>无下属单位，部门预算为</w:t>
      </w:r>
      <w:r w:rsidR="00C14DBF">
        <w:rPr>
          <w:rFonts w:ascii="仿宋" w:eastAsia="仿宋" w:hAnsi="仿宋" w:cs="Calibri" w:hint="eastAsia"/>
          <w:sz w:val="32"/>
          <w:szCs w:val="32"/>
        </w:rPr>
        <w:t>部门本级预算。</w:t>
      </w:r>
    </w:p>
    <w:p w:rsidR="00C14DBF" w:rsidRDefault="00C14DBF" w:rsidP="00C14DBF">
      <w:pPr>
        <w:pStyle w:val="a3"/>
        <w:shd w:val="clear" w:color="auto" w:fill="FFFFFF"/>
        <w:spacing w:before="0" w:beforeAutospacing="0" w:after="0" w:afterAutospacing="0" w:line="558" w:lineRule="atLeast"/>
        <w:ind w:firstLine="640"/>
        <w:jc w:val="both"/>
        <w:rPr>
          <w:rFonts w:ascii="Calibri" w:hAnsi="Calibri" w:cs="Calibri"/>
          <w:sz w:val="21"/>
          <w:szCs w:val="21"/>
        </w:rPr>
      </w:pPr>
      <w:r>
        <w:rPr>
          <w:rFonts w:ascii="仿宋" w:eastAsia="仿宋" w:hAnsi="仿宋" w:cs="Calibri" w:hint="eastAsia"/>
          <w:sz w:val="32"/>
          <w:szCs w:val="32"/>
        </w:rPr>
        <w:t>（二）</w:t>
      </w:r>
      <w:r w:rsidR="004D7BD3">
        <w:rPr>
          <w:rFonts w:ascii="仿宋" w:eastAsia="仿宋" w:hAnsi="仿宋" w:cs="Calibri" w:hint="eastAsia"/>
          <w:sz w:val="32"/>
          <w:szCs w:val="32"/>
        </w:rPr>
        <w:t>本单位</w:t>
      </w:r>
      <w:r>
        <w:rPr>
          <w:rFonts w:ascii="仿宋" w:eastAsia="仿宋" w:hAnsi="仿宋" w:cs="Calibri" w:hint="eastAsia"/>
          <w:sz w:val="32"/>
          <w:szCs w:val="32"/>
        </w:rPr>
        <w:t xml:space="preserve">内设机构、人员构成情况： </w:t>
      </w:r>
    </w:p>
    <w:p w:rsidR="00C14DBF" w:rsidRDefault="00C14DBF" w:rsidP="00C14DBF">
      <w:pPr>
        <w:pStyle w:val="a3"/>
        <w:shd w:val="clear" w:color="auto" w:fill="FFFFFF"/>
        <w:spacing w:before="0" w:beforeAutospacing="0" w:after="0" w:afterAutospacing="0" w:line="558" w:lineRule="atLeast"/>
        <w:ind w:firstLine="640"/>
        <w:jc w:val="both"/>
        <w:rPr>
          <w:rFonts w:ascii="Calibri" w:hAnsi="Calibri" w:cs="Calibri"/>
          <w:sz w:val="21"/>
          <w:szCs w:val="21"/>
        </w:rPr>
      </w:pPr>
      <w:r>
        <w:rPr>
          <w:rFonts w:ascii="仿宋" w:eastAsia="仿宋" w:hAnsi="仿宋" w:cs="Calibri" w:hint="eastAsia"/>
          <w:sz w:val="32"/>
          <w:szCs w:val="32"/>
        </w:rPr>
        <w:t>1.</w:t>
      </w:r>
      <w:r w:rsidR="004D7BD3">
        <w:rPr>
          <w:rFonts w:ascii="仿宋" w:eastAsia="仿宋" w:hAnsi="仿宋" w:cs="Calibri" w:hint="eastAsia"/>
          <w:sz w:val="32"/>
          <w:szCs w:val="32"/>
        </w:rPr>
        <w:t>本单位</w:t>
      </w:r>
      <w:r>
        <w:rPr>
          <w:rFonts w:ascii="仿宋" w:eastAsia="仿宋" w:hAnsi="仿宋" w:cs="Calibri" w:hint="eastAsia"/>
          <w:sz w:val="32"/>
          <w:szCs w:val="32"/>
        </w:rPr>
        <w:t>内设8个副科级科（室）：办公室、教务科、总务科、学生科、招生与就业指导科、培训科、实训中心、教研室。</w:t>
      </w:r>
    </w:p>
    <w:p w:rsidR="00C14DBF" w:rsidRDefault="00C14DBF" w:rsidP="00C14DBF">
      <w:pPr>
        <w:pStyle w:val="a3"/>
        <w:shd w:val="clear" w:color="auto" w:fill="FFFFFF"/>
        <w:spacing w:before="0" w:beforeAutospacing="0" w:after="0" w:afterAutospacing="0" w:line="558" w:lineRule="atLeast"/>
        <w:ind w:left="640"/>
        <w:jc w:val="both"/>
        <w:rPr>
          <w:rFonts w:ascii="Calibri" w:hAnsi="Calibri" w:cs="Calibri"/>
          <w:sz w:val="21"/>
          <w:szCs w:val="21"/>
        </w:rPr>
      </w:pPr>
      <w:r>
        <w:rPr>
          <w:rFonts w:ascii="仿宋" w:eastAsia="仿宋" w:hAnsi="仿宋" w:cs="Calibri" w:hint="eastAsia"/>
          <w:sz w:val="32"/>
          <w:szCs w:val="32"/>
        </w:rPr>
        <w:t>2.人员构成情况</w:t>
      </w:r>
    </w:p>
    <w:p w:rsidR="00C14DBF" w:rsidRDefault="00C14DBF" w:rsidP="00C14DBF">
      <w:pPr>
        <w:pStyle w:val="a3"/>
        <w:shd w:val="clear" w:color="auto" w:fill="FFFFFF"/>
        <w:spacing w:before="0" w:beforeAutospacing="0" w:after="0" w:afterAutospacing="0" w:line="450" w:lineRule="atLeast"/>
        <w:ind w:firstLine="640"/>
        <w:jc w:val="both"/>
        <w:rPr>
          <w:rFonts w:ascii="Calibri" w:hAnsi="Calibri" w:cs="Calibri"/>
          <w:sz w:val="21"/>
          <w:szCs w:val="21"/>
        </w:rPr>
      </w:pPr>
      <w:r>
        <w:rPr>
          <w:rFonts w:ascii="仿宋" w:eastAsia="仿宋" w:hAnsi="仿宋" w:cs="Calibri" w:hint="eastAsia"/>
          <w:sz w:val="32"/>
          <w:szCs w:val="32"/>
        </w:rPr>
        <w:t>编制人员情况：河机编[2012]24号批复后的核定事业编制总数为360名，其中定编不定人20名；配单位领导职数6名，其中：校长1名，副校长5名；工会主席1名，内设机</w:t>
      </w:r>
      <w:r>
        <w:rPr>
          <w:rFonts w:ascii="仿宋" w:eastAsia="仿宋" w:hAnsi="仿宋" w:cs="Calibri" w:hint="eastAsia"/>
          <w:sz w:val="32"/>
          <w:szCs w:val="32"/>
        </w:rPr>
        <w:lastRenderedPageBreak/>
        <w:t>构领导职数（副科级）8名。实有人员情况：本校共有事业在职334人（其中：非参公事业在职334人），聘请人员93</w:t>
      </w:r>
      <w:r w:rsidR="006F55E7">
        <w:rPr>
          <w:rFonts w:ascii="仿宋" w:eastAsia="仿宋" w:hAnsi="仿宋" w:cs="Calibri" w:hint="eastAsia"/>
          <w:sz w:val="32"/>
          <w:szCs w:val="32"/>
        </w:rPr>
        <w:t>人，</w:t>
      </w:r>
      <w:r>
        <w:rPr>
          <w:rFonts w:ascii="仿宋" w:eastAsia="仿宋" w:hAnsi="仿宋" w:cs="Calibri" w:hint="eastAsia"/>
          <w:sz w:val="32"/>
          <w:szCs w:val="32"/>
        </w:rPr>
        <w:t>退休人员</w:t>
      </w:r>
      <w:r w:rsidR="006F55E7">
        <w:rPr>
          <w:rFonts w:ascii="仿宋" w:eastAsia="仿宋" w:hAnsi="仿宋" w:cs="Calibri" w:hint="eastAsia"/>
          <w:sz w:val="32"/>
          <w:szCs w:val="32"/>
        </w:rPr>
        <w:t>12</w:t>
      </w:r>
      <w:r>
        <w:rPr>
          <w:rFonts w:ascii="仿宋" w:eastAsia="仿宋" w:hAnsi="仿宋" w:cs="Calibri" w:hint="eastAsia"/>
          <w:sz w:val="32"/>
          <w:szCs w:val="32"/>
        </w:rPr>
        <w:t>人。</w:t>
      </w:r>
    </w:p>
    <w:p w:rsidR="00C14DBF" w:rsidRDefault="00C14DBF" w:rsidP="00C14DBF">
      <w:pPr>
        <w:pStyle w:val="a3"/>
        <w:shd w:val="clear" w:color="auto" w:fill="FFFFFF"/>
        <w:snapToGrid w:val="0"/>
        <w:spacing w:before="0" w:beforeAutospacing="0" w:after="0" w:afterAutospacing="0" w:line="450" w:lineRule="atLeast"/>
        <w:jc w:val="center"/>
        <w:rPr>
          <w:rFonts w:ascii="Calibri" w:hAnsi="Calibri" w:cs="Calibri"/>
          <w:sz w:val="21"/>
          <w:szCs w:val="21"/>
        </w:rPr>
      </w:pPr>
      <w:r>
        <w:rPr>
          <w:rFonts w:ascii="仿宋" w:eastAsia="仿宋" w:hAnsi="仿宋" w:hint="eastAsia"/>
          <w:sz w:val="32"/>
          <w:szCs w:val="32"/>
        </w:rPr>
        <w:br w:type="page"/>
      </w:r>
      <w:r>
        <w:rPr>
          <w:rFonts w:ascii="方正小标宋简体" w:eastAsia="方正小标宋简体" w:hAnsi="Calibri" w:cs="Calibri" w:hint="eastAsia"/>
          <w:sz w:val="44"/>
          <w:szCs w:val="44"/>
        </w:rPr>
        <w:lastRenderedPageBreak/>
        <w:t>第二部分</w:t>
      </w:r>
      <w:r>
        <w:rPr>
          <w:rFonts w:ascii="方正小标宋简体" w:eastAsia="方正小标宋简体" w:hAnsi="Calibri" w:cs="Calibri" w:hint="eastAsia"/>
          <w:sz w:val="44"/>
          <w:szCs w:val="44"/>
        </w:rPr>
        <w:t> </w:t>
      </w:r>
      <w:r>
        <w:rPr>
          <w:rFonts w:ascii="方正小标宋简体" w:eastAsia="方正小标宋简体" w:hAnsi="Calibri" w:cs="Calibri" w:hint="eastAsia"/>
          <w:sz w:val="44"/>
          <w:szCs w:val="44"/>
        </w:rPr>
        <w:t xml:space="preserve"> 2018年部门预算表</w:t>
      </w:r>
    </w:p>
    <w:p w:rsidR="00C14DBF" w:rsidRDefault="00C14DBF" w:rsidP="00C14DBF">
      <w:pPr>
        <w:pStyle w:val="a3"/>
        <w:shd w:val="clear" w:color="auto" w:fill="FFFFFF"/>
        <w:snapToGrid w:val="0"/>
        <w:spacing w:before="0" w:beforeAutospacing="0" w:after="0" w:afterAutospacing="0" w:line="558" w:lineRule="atLeast"/>
        <w:ind w:firstLine="640"/>
        <w:jc w:val="both"/>
        <w:rPr>
          <w:rFonts w:ascii="Calibri" w:hAnsi="Calibri" w:cs="Calibri"/>
          <w:sz w:val="21"/>
          <w:szCs w:val="21"/>
        </w:rPr>
      </w:pPr>
      <w:r>
        <w:rPr>
          <w:rFonts w:ascii="仿宋" w:eastAsia="仿宋" w:hAnsi="仿宋" w:cs="Calibri" w:hint="eastAsia"/>
          <w:sz w:val="32"/>
          <w:szCs w:val="32"/>
        </w:rPr>
        <w:t>见附件：河源理工学校2018年预算表</w:t>
      </w:r>
    </w:p>
    <w:p w:rsidR="00C14DBF" w:rsidRDefault="00C14DBF" w:rsidP="00C14DBF">
      <w:pPr>
        <w:pStyle w:val="a3"/>
        <w:shd w:val="clear" w:color="auto" w:fill="FFFFFF"/>
        <w:snapToGrid w:val="0"/>
        <w:spacing w:before="0" w:beforeAutospacing="0" w:after="0" w:afterAutospacing="0" w:line="450" w:lineRule="atLeast"/>
        <w:jc w:val="center"/>
        <w:rPr>
          <w:rFonts w:ascii="Calibri" w:hAnsi="Calibri" w:cs="Calibri"/>
          <w:sz w:val="21"/>
          <w:szCs w:val="21"/>
        </w:rPr>
      </w:pPr>
      <w:r>
        <w:rPr>
          <w:rFonts w:ascii="方正小标宋简体" w:eastAsia="方正小标宋简体" w:hAnsi="Calibri" w:cs="Calibri" w:hint="eastAsia"/>
          <w:sz w:val="44"/>
          <w:szCs w:val="44"/>
        </w:rPr>
        <w:t> </w:t>
      </w:r>
    </w:p>
    <w:p w:rsidR="00C14DBF" w:rsidRDefault="00C14DBF" w:rsidP="00C14DBF">
      <w:pPr>
        <w:pStyle w:val="a3"/>
        <w:shd w:val="clear" w:color="auto" w:fill="FFFFFF"/>
        <w:snapToGrid w:val="0"/>
        <w:spacing w:before="0" w:beforeAutospacing="0" w:after="0" w:afterAutospacing="0" w:line="450" w:lineRule="atLeast"/>
        <w:jc w:val="center"/>
        <w:rPr>
          <w:rFonts w:ascii="Calibri" w:hAnsi="Calibri" w:cs="Calibri"/>
          <w:sz w:val="21"/>
          <w:szCs w:val="21"/>
        </w:rPr>
      </w:pPr>
      <w:r>
        <w:rPr>
          <w:rFonts w:ascii="方正小标宋简体" w:eastAsia="方正小标宋简体" w:hAnsi="Calibri" w:cs="Calibri" w:hint="eastAsia"/>
          <w:sz w:val="44"/>
          <w:szCs w:val="44"/>
        </w:rPr>
        <w:t>第三部分</w:t>
      </w:r>
      <w:r>
        <w:rPr>
          <w:rFonts w:ascii="方正小标宋简体" w:eastAsia="方正小标宋简体" w:hAnsi="Calibri" w:cs="Calibri" w:hint="eastAsia"/>
          <w:sz w:val="44"/>
          <w:szCs w:val="44"/>
        </w:rPr>
        <w:t> </w:t>
      </w:r>
      <w:r>
        <w:rPr>
          <w:rFonts w:ascii="方正小标宋简体" w:eastAsia="方正小标宋简体" w:hAnsi="Calibri" w:cs="Calibri" w:hint="eastAsia"/>
          <w:sz w:val="44"/>
          <w:szCs w:val="44"/>
        </w:rPr>
        <w:t xml:space="preserve"> 2018年部门预算情况说明</w:t>
      </w:r>
    </w:p>
    <w:p w:rsidR="00C14DBF" w:rsidRDefault="00C14DBF" w:rsidP="00C14DBF">
      <w:pPr>
        <w:pStyle w:val="a3"/>
        <w:shd w:val="clear" w:color="auto" w:fill="FFFFFF"/>
        <w:snapToGrid w:val="0"/>
        <w:spacing w:before="0" w:beforeAutospacing="0" w:after="0" w:afterAutospacing="0" w:line="450" w:lineRule="atLeast"/>
        <w:jc w:val="both"/>
        <w:rPr>
          <w:rFonts w:ascii="Calibri" w:hAnsi="Calibri" w:cs="Calibri"/>
          <w:sz w:val="21"/>
          <w:szCs w:val="21"/>
        </w:rPr>
      </w:pPr>
      <w:r>
        <w:rPr>
          <w:rFonts w:ascii="方正小标宋简体" w:eastAsia="方正小标宋简体" w:hAnsi="Calibri" w:cs="Calibri" w:hint="eastAsia"/>
          <w:sz w:val="44"/>
          <w:szCs w:val="44"/>
        </w:rPr>
        <w:t> </w:t>
      </w:r>
    </w:p>
    <w:p w:rsidR="00C14DBF" w:rsidRDefault="00C14DBF" w:rsidP="00C14DBF">
      <w:pPr>
        <w:pStyle w:val="a3"/>
        <w:shd w:val="clear" w:color="auto" w:fill="FFFFFF"/>
        <w:snapToGrid w:val="0"/>
        <w:spacing w:before="0" w:beforeAutospacing="0" w:after="0" w:afterAutospacing="0" w:line="450" w:lineRule="atLeast"/>
        <w:ind w:firstLine="640"/>
        <w:jc w:val="both"/>
        <w:rPr>
          <w:rFonts w:ascii="Calibri" w:hAnsi="Calibri" w:cs="Calibri"/>
          <w:sz w:val="21"/>
          <w:szCs w:val="21"/>
        </w:rPr>
      </w:pPr>
      <w:r>
        <w:rPr>
          <w:rFonts w:ascii="黑体" w:eastAsia="黑体" w:hAnsi="黑体" w:cs="Calibri" w:hint="eastAsia"/>
          <w:sz w:val="32"/>
          <w:szCs w:val="32"/>
        </w:rPr>
        <w:t>一、部门预算收支增减变化情况</w:t>
      </w:r>
    </w:p>
    <w:p w:rsidR="00C14DBF" w:rsidRDefault="00C14DBF" w:rsidP="00C14DBF">
      <w:pPr>
        <w:pStyle w:val="a3"/>
        <w:shd w:val="clear" w:color="auto" w:fill="FFFFFF"/>
        <w:snapToGrid w:val="0"/>
        <w:spacing w:before="0" w:beforeAutospacing="0" w:after="0" w:afterAutospacing="0" w:line="558" w:lineRule="atLeast"/>
        <w:ind w:firstLine="640"/>
        <w:jc w:val="both"/>
        <w:rPr>
          <w:rFonts w:ascii="Calibri" w:hAnsi="Calibri" w:cs="Calibri"/>
          <w:sz w:val="21"/>
          <w:szCs w:val="21"/>
        </w:rPr>
      </w:pPr>
      <w:r>
        <w:rPr>
          <w:rFonts w:ascii="仿宋" w:eastAsia="仿宋" w:hAnsi="仿宋" w:cs="Calibri" w:hint="eastAsia"/>
          <w:sz w:val="32"/>
          <w:szCs w:val="32"/>
        </w:rPr>
        <w:t>2018年部门预算收入数为7315.29万元，比上年减少1398.84万元，减少16.05%。其中：一般公共预算拨款4560.56万元，财政专户拨款955.21万元，上级补助收入1799.52万元。减少的原因主要是其他资金的减少。</w:t>
      </w:r>
    </w:p>
    <w:p w:rsidR="00C14DBF" w:rsidRDefault="00C14DBF" w:rsidP="00C14DBF">
      <w:pPr>
        <w:pStyle w:val="a3"/>
        <w:shd w:val="clear" w:color="auto" w:fill="FFFFFF"/>
        <w:snapToGrid w:val="0"/>
        <w:spacing w:before="0" w:beforeAutospacing="0" w:after="0" w:afterAutospacing="0" w:line="558" w:lineRule="atLeast"/>
        <w:ind w:firstLine="640"/>
        <w:jc w:val="both"/>
        <w:rPr>
          <w:rFonts w:ascii="Calibri" w:hAnsi="Calibri" w:cs="Calibri"/>
          <w:sz w:val="21"/>
          <w:szCs w:val="21"/>
        </w:rPr>
      </w:pPr>
      <w:r>
        <w:rPr>
          <w:rFonts w:ascii="仿宋" w:eastAsia="仿宋" w:hAnsi="仿宋" w:cs="Calibri" w:hint="eastAsia"/>
          <w:sz w:val="32"/>
          <w:szCs w:val="32"/>
        </w:rPr>
        <w:t>2018年部门预算支出数为7315.29万元，其中：</w:t>
      </w:r>
    </w:p>
    <w:p w:rsidR="00C14DBF" w:rsidRDefault="00C14DBF" w:rsidP="00C14DBF">
      <w:pPr>
        <w:pStyle w:val="a3"/>
        <w:shd w:val="clear" w:color="auto" w:fill="FFFFFF"/>
        <w:snapToGrid w:val="0"/>
        <w:spacing w:before="0" w:beforeAutospacing="0" w:after="0" w:afterAutospacing="0" w:line="558" w:lineRule="atLeast"/>
        <w:ind w:firstLine="640"/>
        <w:jc w:val="both"/>
        <w:rPr>
          <w:rFonts w:ascii="Calibri" w:hAnsi="Calibri" w:cs="Calibri"/>
          <w:sz w:val="21"/>
          <w:szCs w:val="21"/>
        </w:rPr>
      </w:pPr>
      <w:r>
        <w:rPr>
          <w:rFonts w:ascii="仿宋" w:eastAsia="仿宋" w:hAnsi="仿宋" w:cs="Calibri" w:hint="eastAsia"/>
          <w:sz w:val="32"/>
          <w:szCs w:val="32"/>
        </w:rPr>
        <w:t>基本支出预算4687.07万元，占总支出的64.07%，比上年增加571.20万元，增长13.88%。其中：工资福利支出3580.73万元，对个人和家庭的补助322.74万元，公用经费783.60万元。增长的原因主要是：在编教职工人数与工资福利均有所增加。</w:t>
      </w:r>
    </w:p>
    <w:p w:rsidR="00C14DBF" w:rsidRDefault="00C14DBF" w:rsidP="00C14DBF">
      <w:pPr>
        <w:pStyle w:val="a3"/>
        <w:shd w:val="clear" w:color="auto" w:fill="FFFFFF"/>
        <w:snapToGrid w:val="0"/>
        <w:spacing w:before="0" w:beforeAutospacing="0" w:after="0" w:afterAutospacing="0" w:line="558" w:lineRule="atLeast"/>
        <w:ind w:firstLine="640"/>
        <w:jc w:val="both"/>
        <w:rPr>
          <w:rFonts w:ascii="Calibri" w:hAnsi="Calibri" w:cs="Calibri"/>
          <w:sz w:val="21"/>
          <w:szCs w:val="21"/>
        </w:rPr>
      </w:pPr>
      <w:r>
        <w:rPr>
          <w:rFonts w:ascii="仿宋" w:eastAsia="仿宋" w:hAnsi="仿宋" w:cs="Calibri" w:hint="eastAsia"/>
          <w:sz w:val="32"/>
          <w:szCs w:val="32"/>
        </w:rPr>
        <w:t>项目支出预算2628.22万元，占总支出的35.93%，比上年减少1970.04万元，减少42.84%。减少的原因主要是部分自筹资金项目未列入本年度预算。</w:t>
      </w:r>
    </w:p>
    <w:p w:rsidR="00C14DBF" w:rsidRDefault="00C14DBF" w:rsidP="00C14DBF">
      <w:pPr>
        <w:pStyle w:val="a3"/>
        <w:shd w:val="clear" w:color="auto" w:fill="FFFFFF"/>
        <w:snapToGrid w:val="0"/>
        <w:spacing w:before="0" w:beforeAutospacing="0" w:after="0" w:afterAutospacing="0" w:line="450" w:lineRule="atLeast"/>
        <w:ind w:firstLine="640"/>
        <w:jc w:val="both"/>
        <w:rPr>
          <w:rFonts w:ascii="Calibri" w:hAnsi="Calibri" w:cs="Calibri"/>
          <w:sz w:val="21"/>
          <w:szCs w:val="21"/>
        </w:rPr>
      </w:pPr>
      <w:r>
        <w:rPr>
          <w:rFonts w:hint="eastAsia"/>
          <w:sz w:val="32"/>
          <w:szCs w:val="32"/>
        </w:rPr>
        <w:t> </w:t>
      </w:r>
    </w:p>
    <w:p w:rsidR="00C14DBF" w:rsidRDefault="00C14DBF" w:rsidP="00C14DBF">
      <w:pPr>
        <w:pStyle w:val="a3"/>
        <w:shd w:val="clear" w:color="auto" w:fill="FFFFFF"/>
        <w:snapToGrid w:val="0"/>
        <w:spacing w:before="0" w:beforeAutospacing="0" w:after="0" w:afterAutospacing="0" w:line="450" w:lineRule="atLeast"/>
        <w:ind w:firstLine="640"/>
        <w:jc w:val="both"/>
        <w:rPr>
          <w:rFonts w:ascii="Calibri" w:hAnsi="Calibri" w:cs="Calibri"/>
          <w:sz w:val="21"/>
          <w:szCs w:val="21"/>
        </w:rPr>
      </w:pPr>
      <w:r>
        <w:rPr>
          <w:rFonts w:ascii="黑体" w:eastAsia="黑体" w:hAnsi="黑体" w:cs="Calibri" w:hint="eastAsia"/>
          <w:sz w:val="32"/>
          <w:szCs w:val="32"/>
        </w:rPr>
        <w:t>二、“三公”经费安排情况说明</w:t>
      </w:r>
    </w:p>
    <w:p w:rsidR="00C14DBF" w:rsidRDefault="00C14DBF" w:rsidP="00C14DBF">
      <w:pPr>
        <w:pStyle w:val="a3"/>
        <w:shd w:val="clear" w:color="auto" w:fill="FFFFFF"/>
        <w:snapToGrid w:val="0"/>
        <w:spacing w:before="0" w:beforeAutospacing="0" w:after="0" w:afterAutospacing="0" w:line="558" w:lineRule="atLeast"/>
        <w:ind w:firstLine="640"/>
        <w:jc w:val="both"/>
        <w:rPr>
          <w:rFonts w:ascii="Calibri" w:hAnsi="Calibri" w:cs="Calibri"/>
          <w:sz w:val="21"/>
          <w:szCs w:val="21"/>
        </w:rPr>
      </w:pPr>
      <w:r>
        <w:rPr>
          <w:rFonts w:ascii="仿宋" w:eastAsia="仿宋" w:hAnsi="仿宋" w:cs="Calibri" w:hint="eastAsia"/>
          <w:sz w:val="32"/>
          <w:szCs w:val="32"/>
        </w:rPr>
        <w:t>2018年，一般公共预算拨款“三公”经费支出合计13.00万元，比上年减少7.00万元。其中：因公出国（境）费0.00万元，占0.00%；公务用车购置及运行费3.00万元（其中公</w:t>
      </w:r>
      <w:r>
        <w:rPr>
          <w:rFonts w:ascii="仿宋" w:eastAsia="仿宋" w:hAnsi="仿宋" w:cs="Calibri" w:hint="eastAsia"/>
          <w:sz w:val="32"/>
          <w:szCs w:val="32"/>
        </w:rPr>
        <w:lastRenderedPageBreak/>
        <w:t>务用车购置0.00万元，公务用车运行维护费3.00万元），占23.08%，比上年减少7万元，减少的主要原因是公车改革后本校只保留一辆公务用车，公务用车运行维护费相应减少；公务接待费10.</w:t>
      </w:r>
      <w:r w:rsidR="007F59EE">
        <w:rPr>
          <w:rFonts w:ascii="仿宋" w:eastAsia="仿宋" w:hAnsi="仿宋" w:cs="Calibri" w:hint="eastAsia"/>
          <w:sz w:val="32"/>
          <w:szCs w:val="32"/>
        </w:rPr>
        <w:t>00</w:t>
      </w:r>
      <w:r>
        <w:rPr>
          <w:rFonts w:ascii="仿宋" w:eastAsia="仿宋" w:hAnsi="仿宋" w:cs="Calibri" w:hint="eastAsia"/>
          <w:sz w:val="32"/>
          <w:szCs w:val="32"/>
        </w:rPr>
        <w:t>万元，占76.92%，与上年持平。</w:t>
      </w:r>
    </w:p>
    <w:p w:rsidR="007F59EE" w:rsidRDefault="007F59EE" w:rsidP="00C14DBF">
      <w:pPr>
        <w:pStyle w:val="a3"/>
        <w:shd w:val="clear" w:color="auto" w:fill="FFFFFF"/>
        <w:snapToGrid w:val="0"/>
        <w:spacing w:before="0" w:beforeAutospacing="0" w:after="0" w:afterAutospacing="0" w:line="450" w:lineRule="atLeast"/>
        <w:ind w:firstLine="640"/>
        <w:jc w:val="both"/>
        <w:rPr>
          <w:rFonts w:ascii="黑体" w:eastAsia="黑体" w:hAnsi="黑体" w:cs="Calibri"/>
          <w:sz w:val="32"/>
          <w:szCs w:val="32"/>
        </w:rPr>
      </w:pPr>
    </w:p>
    <w:p w:rsidR="00C14DBF" w:rsidRDefault="00C14DBF" w:rsidP="00C14DBF">
      <w:pPr>
        <w:pStyle w:val="a3"/>
        <w:shd w:val="clear" w:color="auto" w:fill="FFFFFF"/>
        <w:snapToGrid w:val="0"/>
        <w:spacing w:before="0" w:beforeAutospacing="0" w:after="0" w:afterAutospacing="0" w:line="450" w:lineRule="atLeast"/>
        <w:ind w:firstLine="640"/>
        <w:jc w:val="both"/>
        <w:rPr>
          <w:rFonts w:ascii="Calibri" w:hAnsi="Calibri" w:cs="Calibri"/>
          <w:sz w:val="21"/>
          <w:szCs w:val="21"/>
        </w:rPr>
      </w:pPr>
      <w:r>
        <w:rPr>
          <w:rFonts w:ascii="黑体" w:eastAsia="黑体" w:hAnsi="黑体" w:cs="Calibri" w:hint="eastAsia"/>
          <w:sz w:val="32"/>
          <w:szCs w:val="32"/>
        </w:rPr>
        <w:t>三、机关运行经费安排情况</w:t>
      </w:r>
    </w:p>
    <w:p w:rsidR="00C14DBF" w:rsidRDefault="004D7BD3" w:rsidP="00C14DBF">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sidRPr="004D7BD3">
        <w:rPr>
          <w:rFonts w:ascii="仿宋" w:eastAsia="仿宋" w:hAnsi="仿宋" w:cs="Calibri" w:hint="eastAsia"/>
          <w:sz w:val="32"/>
          <w:szCs w:val="32"/>
        </w:rPr>
        <w:t>本单位为财政核拨事业单位，无机关运行经费</w:t>
      </w:r>
      <w:r w:rsidR="00C36BB9">
        <w:rPr>
          <w:rFonts w:ascii="仿宋" w:eastAsia="仿宋" w:hAnsi="仿宋" w:cs="Calibri" w:hint="eastAsia"/>
          <w:sz w:val="32"/>
          <w:szCs w:val="32"/>
        </w:rPr>
        <w:t>。</w:t>
      </w:r>
    </w:p>
    <w:p w:rsidR="004D7BD3" w:rsidRPr="004D7BD3" w:rsidRDefault="004D7BD3" w:rsidP="00C14DBF">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p>
    <w:p w:rsidR="00C14DBF" w:rsidRPr="004D7BD3" w:rsidRDefault="00C14DBF" w:rsidP="00C14DBF">
      <w:pPr>
        <w:pStyle w:val="a3"/>
        <w:shd w:val="clear" w:color="auto" w:fill="FFFFFF"/>
        <w:snapToGrid w:val="0"/>
        <w:spacing w:before="0" w:beforeAutospacing="0" w:after="0" w:afterAutospacing="0" w:line="450" w:lineRule="atLeast"/>
        <w:ind w:firstLine="640"/>
        <w:jc w:val="both"/>
        <w:rPr>
          <w:rFonts w:ascii="黑体" w:eastAsia="黑体" w:hAnsi="黑体" w:cs="Calibri"/>
          <w:sz w:val="32"/>
          <w:szCs w:val="32"/>
        </w:rPr>
      </w:pPr>
      <w:r w:rsidRPr="004D7BD3">
        <w:rPr>
          <w:rFonts w:ascii="黑体" w:eastAsia="黑体" w:hAnsi="黑体" w:cs="Calibri" w:hint="eastAsia"/>
          <w:sz w:val="32"/>
          <w:szCs w:val="32"/>
        </w:rPr>
        <w:t>四、政府采购情况</w:t>
      </w:r>
    </w:p>
    <w:p w:rsidR="00C14DBF" w:rsidRDefault="00C14DBF" w:rsidP="00C14DBF">
      <w:pPr>
        <w:pStyle w:val="a3"/>
        <w:shd w:val="clear" w:color="auto" w:fill="FFFFFF"/>
        <w:snapToGrid w:val="0"/>
        <w:spacing w:before="0" w:beforeAutospacing="0" w:after="0" w:afterAutospacing="0" w:line="558" w:lineRule="atLeast"/>
        <w:ind w:firstLine="640"/>
        <w:jc w:val="both"/>
        <w:rPr>
          <w:rFonts w:ascii="Calibri" w:hAnsi="Calibri" w:cs="Calibri"/>
          <w:sz w:val="21"/>
          <w:szCs w:val="21"/>
        </w:rPr>
      </w:pPr>
      <w:r>
        <w:rPr>
          <w:rFonts w:ascii="仿宋" w:eastAsia="仿宋" w:hAnsi="仿宋" w:cs="Calibri" w:hint="eastAsia"/>
          <w:sz w:val="32"/>
          <w:szCs w:val="32"/>
        </w:rPr>
        <w:t>2018年</w:t>
      </w:r>
      <w:r w:rsidR="004D7BD3">
        <w:rPr>
          <w:rFonts w:ascii="仿宋" w:eastAsia="仿宋" w:hAnsi="仿宋" w:cs="Calibri" w:hint="eastAsia"/>
          <w:sz w:val="32"/>
          <w:szCs w:val="32"/>
        </w:rPr>
        <w:t>本单位</w:t>
      </w:r>
      <w:r>
        <w:rPr>
          <w:rFonts w:ascii="仿宋" w:eastAsia="仿宋" w:hAnsi="仿宋" w:cs="Calibri" w:hint="eastAsia"/>
          <w:sz w:val="32"/>
          <w:szCs w:val="32"/>
        </w:rPr>
        <w:t>政府采购预算总额300万元，其中：政府采购货物类300万元、政府采购工程支出总额0万元、政府采购支出服务0万元。</w:t>
      </w:r>
    </w:p>
    <w:p w:rsidR="007F59EE" w:rsidRPr="004D7BD3" w:rsidRDefault="007F59EE" w:rsidP="00C14DBF">
      <w:pPr>
        <w:pStyle w:val="a3"/>
        <w:shd w:val="clear" w:color="auto" w:fill="FFFFFF"/>
        <w:snapToGrid w:val="0"/>
        <w:spacing w:before="0" w:beforeAutospacing="0" w:after="0" w:afterAutospacing="0" w:line="450" w:lineRule="atLeast"/>
        <w:ind w:firstLine="640"/>
        <w:jc w:val="both"/>
        <w:rPr>
          <w:rFonts w:ascii="黑体" w:eastAsia="黑体" w:hAnsi="黑体" w:cs="Calibri"/>
          <w:sz w:val="32"/>
          <w:szCs w:val="32"/>
        </w:rPr>
      </w:pPr>
    </w:p>
    <w:p w:rsidR="00C14DBF" w:rsidRDefault="00C14DBF" w:rsidP="00C14DBF">
      <w:pPr>
        <w:pStyle w:val="a3"/>
        <w:shd w:val="clear" w:color="auto" w:fill="FFFFFF"/>
        <w:snapToGrid w:val="0"/>
        <w:spacing w:before="0" w:beforeAutospacing="0" w:after="0" w:afterAutospacing="0" w:line="450" w:lineRule="atLeast"/>
        <w:ind w:firstLine="640"/>
        <w:jc w:val="both"/>
        <w:rPr>
          <w:rFonts w:ascii="Calibri" w:hAnsi="Calibri" w:cs="Calibri"/>
          <w:sz w:val="21"/>
          <w:szCs w:val="21"/>
        </w:rPr>
      </w:pPr>
      <w:r>
        <w:rPr>
          <w:rFonts w:ascii="黑体" w:eastAsia="黑体" w:hAnsi="黑体" w:cs="Calibri" w:hint="eastAsia"/>
          <w:sz w:val="32"/>
          <w:szCs w:val="32"/>
        </w:rPr>
        <w:t>五、国有资产占有使用情况</w:t>
      </w:r>
    </w:p>
    <w:p w:rsidR="00C14DBF" w:rsidRPr="007F59EE" w:rsidRDefault="00C14DBF"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Pr>
          <w:rFonts w:ascii="仿宋" w:eastAsia="仿宋" w:hAnsi="仿宋" w:cs="Calibri" w:hint="eastAsia"/>
          <w:sz w:val="32"/>
          <w:szCs w:val="32"/>
        </w:rPr>
        <w:t>截至2017年12月31</w:t>
      </w:r>
      <w:r w:rsidR="004D7BD3">
        <w:rPr>
          <w:rFonts w:ascii="仿宋" w:eastAsia="仿宋" w:hAnsi="仿宋" w:cs="Calibri" w:hint="eastAsia"/>
          <w:sz w:val="32"/>
          <w:szCs w:val="32"/>
        </w:rPr>
        <w:t>日，本单位</w:t>
      </w:r>
      <w:r>
        <w:rPr>
          <w:rFonts w:ascii="仿宋" w:eastAsia="仿宋" w:hAnsi="仿宋" w:cs="Calibri" w:hint="eastAsia"/>
          <w:sz w:val="32"/>
          <w:szCs w:val="32"/>
        </w:rPr>
        <w:t>占有国有资产金额为10748.16万元。分布构成情况为：房屋和构筑物259.67万；通用设备1765.09万元；专用设备7269.76万元；图书、档案122.09万元；家具、用具、装具及动植物1331.55万元。相比上年，新增固定资产1140.27万元，减少170.94万元。（原因为资产到期报废）</w:t>
      </w:r>
    </w:p>
    <w:p w:rsidR="00C14DBF" w:rsidRPr="007F59EE" w:rsidRDefault="00C14DBF"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sidRPr="007F59EE">
        <w:rPr>
          <w:rFonts w:ascii="仿宋" w:eastAsia="仿宋" w:hAnsi="仿宋" w:cs="Calibri" w:hint="eastAsia"/>
          <w:sz w:val="32"/>
          <w:szCs w:val="32"/>
        </w:rPr>
        <w:t> </w:t>
      </w:r>
    </w:p>
    <w:p w:rsidR="00C14DBF" w:rsidRDefault="00C14DBF" w:rsidP="00C14DBF">
      <w:pPr>
        <w:pStyle w:val="a3"/>
        <w:shd w:val="clear" w:color="auto" w:fill="FFFFFF"/>
        <w:snapToGrid w:val="0"/>
        <w:spacing w:before="0" w:beforeAutospacing="0" w:after="0" w:afterAutospacing="0" w:line="450" w:lineRule="atLeast"/>
        <w:ind w:firstLine="640"/>
        <w:jc w:val="both"/>
        <w:rPr>
          <w:rFonts w:ascii="Calibri" w:hAnsi="Calibri" w:cs="Calibri"/>
          <w:sz w:val="21"/>
          <w:szCs w:val="21"/>
        </w:rPr>
      </w:pPr>
      <w:r>
        <w:rPr>
          <w:rFonts w:ascii="黑体" w:eastAsia="黑体" w:hAnsi="黑体" w:cs="Calibri" w:hint="eastAsia"/>
          <w:sz w:val="32"/>
          <w:szCs w:val="32"/>
        </w:rPr>
        <w:t>六、预算绩效信息公开情况</w:t>
      </w:r>
    </w:p>
    <w:p w:rsidR="00C14DBF" w:rsidRPr="007F59EE" w:rsidRDefault="004D7BD3"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Pr>
          <w:rFonts w:ascii="仿宋" w:eastAsia="仿宋" w:hAnsi="仿宋" w:cs="Calibri" w:hint="eastAsia"/>
          <w:sz w:val="32"/>
          <w:szCs w:val="32"/>
        </w:rPr>
        <w:t>本单位</w:t>
      </w:r>
      <w:r w:rsidR="00C14DBF">
        <w:rPr>
          <w:rFonts w:ascii="仿宋" w:eastAsia="仿宋" w:hAnsi="仿宋" w:cs="Calibri" w:hint="eastAsia"/>
          <w:sz w:val="32"/>
          <w:szCs w:val="32"/>
        </w:rPr>
        <w:t>在编制2018年编报项目预算时同步编制了项目绩效目标，在预算项目实施进程中，将根据国家政策及相关文件规定要求结合学校实际情况，进一步修订和完善与预算绩</w:t>
      </w:r>
      <w:r w:rsidR="00C14DBF">
        <w:rPr>
          <w:rFonts w:ascii="仿宋" w:eastAsia="仿宋" w:hAnsi="仿宋" w:cs="Calibri" w:hint="eastAsia"/>
          <w:sz w:val="32"/>
          <w:szCs w:val="32"/>
        </w:rPr>
        <w:lastRenderedPageBreak/>
        <w:t>效相关的制度办法，针对不同的项目选用适合的评价指标和评价方法。严格按照相关预算的使用要求使用资金。</w:t>
      </w:r>
    </w:p>
    <w:p w:rsidR="00C14DBF" w:rsidRPr="007F59EE" w:rsidRDefault="00C14DBF" w:rsidP="00C14DBF">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Pr>
          <w:rFonts w:ascii="仿宋" w:eastAsia="仿宋" w:hAnsi="仿宋" w:cs="Calibri" w:hint="eastAsia"/>
          <w:sz w:val="32"/>
          <w:szCs w:val="32"/>
        </w:rPr>
        <w:t>在预算年度终了后将对达到100万元以上的预算项目进行绩效自评，并</w:t>
      </w:r>
      <w:r w:rsidR="004D7BD3">
        <w:rPr>
          <w:rFonts w:ascii="仿宋" w:eastAsia="仿宋" w:hAnsi="仿宋" w:cs="Calibri" w:hint="eastAsia"/>
          <w:sz w:val="32"/>
          <w:szCs w:val="32"/>
        </w:rPr>
        <w:t>及时对评价发现的问题进行整改，提升绩效评价的效果。有效地保障本单位</w:t>
      </w:r>
      <w:r>
        <w:rPr>
          <w:rFonts w:ascii="仿宋" w:eastAsia="仿宋" w:hAnsi="仿宋" w:cs="Calibri" w:hint="eastAsia"/>
          <w:sz w:val="32"/>
          <w:szCs w:val="32"/>
        </w:rPr>
        <w:t>日常教学和其他各项工作的正常运转。</w:t>
      </w:r>
    </w:p>
    <w:p w:rsidR="00C14DBF" w:rsidRDefault="00C14DBF" w:rsidP="00C14DBF">
      <w:pPr>
        <w:pStyle w:val="a3"/>
        <w:shd w:val="clear" w:color="auto" w:fill="FFFFFF"/>
        <w:snapToGrid w:val="0"/>
        <w:spacing w:before="0" w:beforeAutospacing="0" w:after="0" w:afterAutospacing="0" w:line="450" w:lineRule="atLeast"/>
        <w:jc w:val="center"/>
        <w:rPr>
          <w:rFonts w:ascii="Calibri" w:hAnsi="Calibri" w:cs="Calibri"/>
          <w:sz w:val="21"/>
          <w:szCs w:val="21"/>
        </w:rPr>
      </w:pPr>
      <w:r>
        <w:rPr>
          <w:rFonts w:ascii="方正小标宋简体" w:eastAsia="方正小标宋简体" w:hAnsi="Calibri" w:cs="Calibri" w:hint="eastAsia"/>
          <w:sz w:val="44"/>
          <w:szCs w:val="44"/>
        </w:rPr>
        <w:t> </w:t>
      </w:r>
    </w:p>
    <w:p w:rsidR="00C14DBF" w:rsidRDefault="00C14DBF" w:rsidP="00C14DBF">
      <w:pPr>
        <w:pStyle w:val="a3"/>
        <w:shd w:val="clear" w:color="auto" w:fill="FFFFFF"/>
        <w:snapToGrid w:val="0"/>
        <w:spacing w:before="0" w:beforeAutospacing="0" w:after="0" w:afterAutospacing="0" w:line="450" w:lineRule="atLeast"/>
        <w:jc w:val="center"/>
        <w:rPr>
          <w:rFonts w:ascii="Calibri" w:hAnsi="Calibri" w:cs="Calibri"/>
          <w:sz w:val="21"/>
          <w:szCs w:val="21"/>
        </w:rPr>
      </w:pPr>
      <w:r>
        <w:rPr>
          <w:rFonts w:ascii="方正小标宋简体" w:eastAsia="方正小标宋简体" w:hAnsi="Calibri" w:cs="Calibri" w:hint="eastAsia"/>
          <w:sz w:val="44"/>
          <w:szCs w:val="44"/>
        </w:rPr>
        <w:t>第四部分</w:t>
      </w:r>
      <w:r>
        <w:rPr>
          <w:rFonts w:ascii="方正小标宋简体" w:eastAsia="方正小标宋简体" w:hAnsi="Calibri" w:cs="Calibri" w:hint="eastAsia"/>
          <w:sz w:val="44"/>
          <w:szCs w:val="44"/>
        </w:rPr>
        <w:t> </w:t>
      </w:r>
      <w:r>
        <w:rPr>
          <w:rFonts w:ascii="方正小标宋简体" w:eastAsia="方正小标宋简体" w:hAnsi="Calibri" w:cs="Calibri" w:hint="eastAsia"/>
          <w:sz w:val="44"/>
          <w:szCs w:val="44"/>
        </w:rPr>
        <w:t xml:space="preserve"> 名词解释</w:t>
      </w:r>
    </w:p>
    <w:p w:rsidR="00C14DBF" w:rsidRPr="007F59EE" w:rsidRDefault="00C14DBF"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Pr>
          <w:rFonts w:ascii="仿宋" w:eastAsia="仿宋" w:hAnsi="仿宋" w:cs="Calibri" w:hint="eastAsia"/>
          <w:sz w:val="32"/>
          <w:szCs w:val="32"/>
        </w:rPr>
        <w:t>（一）一般公共预算：指对以税收为主体的财政收入，安排用于保障和改善民生、推动经济社会发展、维护国家安全、维持国家机构正常运转等方面的收支预算。</w:t>
      </w:r>
    </w:p>
    <w:p w:rsidR="00C14DBF" w:rsidRPr="007F59EE" w:rsidRDefault="00C14DBF"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Pr>
          <w:rFonts w:ascii="仿宋" w:eastAsia="仿宋" w:hAnsi="仿宋" w:cs="Calibri" w:hint="eastAsia"/>
          <w:sz w:val="32"/>
          <w:szCs w:val="32"/>
        </w:rPr>
        <w:t>（二）部门预算：指与财政部门发生预算缴款、拨款关系的政府机关、社会团体和其他单位，依据国家有关法律、法规规定及其履行职能的需要编制的本部门年度收支计划，涵盖部门各项收支，实行一个部门一本预算。</w:t>
      </w:r>
    </w:p>
    <w:p w:rsidR="00C14DBF" w:rsidRPr="007F59EE" w:rsidRDefault="00C14DBF"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Pr>
          <w:rFonts w:ascii="仿宋" w:eastAsia="仿宋" w:hAnsi="仿宋" w:cs="Calibri" w:hint="eastAsia"/>
          <w:sz w:val="32"/>
          <w:szCs w:val="32"/>
        </w:rPr>
        <w:t>（三）基本支出：指单位为保障机构正常运转、完成日常工作任务而发生的各项支出。</w:t>
      </w:r>
    </w:p>
    <w:p w:rsidR="00C14DBF" w:rsidRPr="007F59EE" w:rsidRDefault="00C14DBF"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Pr>
          <w:rFonts w:ascii="仿宋" w:eastAsia="仿宋" w:hAnsi="仿宋" w:cs="Calibri" w:hint="eastAsia"/>
          <w:sz w:val="32"/>
          <w:szCs w:val="32"/>
        </w:rPr>
        <w:t>（四）项目支出：指在基本支出之外为完成特定的行政任务或事业发展目标所发生的支出。</w:t>
      </w:r>
    </w:p>
    <w:p w:rsidR="00C14DBF" w:rsidRPr="007F59EE" w:rsidRDefault="00C14DBF"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Pr>
          <w:rFonts w:ascii="仿宋" w:eastAsia="仿宋" w:hAnsi="仿宋" w:cs="Calibri" w:hint="eastAsia"/>
          <w:sz w:val="32"/>
          <w:szCs w:val="32"/>
        </w:rPr>
        <w:t>（五）非税收入：指由各级政府及其所属部门和单位依法利用行政权力、政府信誉、国家资源、国有资产或提供特定公务服务征收、收取、提取、募集的除税收和政府债务收入以外的财政收入，包括行政事业性收费、政府性基金、国有资源有偿使用收入、国有资产有偿使用收入、国有资本经</w:t>
      </w:r>
      <w:r>
        <w:rPr>
          <w:rFonts w:ascii="仿宋" w:eastAsia="仿宋" w:hAnsi="仿宋" w:cs="Calibri" w:hint="eastAsia"/>
          <w:sz w:val="32"/>
          <w:szCs w:val="32"/>
        </w:rPr>
        <w:lastRenderedPageBreak/>
        <w:t>营收益、彩票公益金、罚没收入、以政府明细接受的捐赠收入、政府财政资金产生的利息收入等。</w:t>
      </w:r>
    </w:p>
    <w:p w:rsidR="00C14DBF" w:rsidRPr="007F59EE" w:rsidRDefault="00C14DBF"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Pr>
          <w:rFonts w:ascii="仿宋" w:eastAsia="仿宋" w:hAnsi="仿宋" w:cs="Calibri" w:hint="eastAsia"/>
          <w:sz w:val="32"/>
          <w:szCs w:val="32"/>
        </w:rPr>
        <w:t>（六）财政拨款收入：指单位本年度从本级财政部门取得的财政拨款。</w:t>
      </w:r>
    </w:p>
    <w:p w:rsidR="00C14DBF" w:rsidRPr="007F59EE" w:rsidRDefault="00C14DBF"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Pr>
          <w:rFonts w:ascii="仿宋" w:eastAsia="仿宋" w:hAnsi="仿宋" w:cs="Calibri" w:hint="eastAsia"/>
          <w:sz w:val="32"/>
          <w:szCs w:val="32"/>
        </w:rPr>
        <w:t>（七）上级补助收入：指事业单位从主管部门和上级单位取得的非财政补助收入。</w:t>
      </w:r>
    </w:p>
    <w:p w:rsidR="00C14DBF" w:rsidRPr="007F59EE" w:rsidRDefault="00C14DBF"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Pr>
          <w:rFonts w:ascii="仿宋" w:eastAsia="仿宋" w:hAnsi="仿宋" w:cs="Calibri" w:hint="eastAsia"/>
          <w:sz w:val="32"/>
          <w:szCs w:val="32"/>
        </w:rPr>
        <w:t>（八）事业收入：指事业本位开展专业业务活动及其辅助活动取得的收入，事业本位收到的财政专户实际核拨的教育收费等资金在此反映。</w:t>
      </w:r>
    </w:p>
    <w:p w:rsidR="00C14DBF" w:rsidRPr="007F59EE" w:rsidRDefault="00C14DBF"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Pr>
          <w:rFonts w:ascii="仿宋" w:eastAsia="仿宋" w:hAnsi="仿宋" w:cs="Calibri" w:hint="eastAsia"/>
          <w:sz w:val="32"/>
          <w:szCs w:val="32"/>
        </w:rPr>
        <w:t>（九）“三公”经费：纳入市级财政预决算管理的“三公经费”，是指市直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14DBF" w:rsidRPr="007F59EE" w:rsidRDefault="007F59EE"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r>
        <w:rPr>
          <w:rFonts w:ascii="仿宋" w:eastAsia="仿宋" w:hAnsi="仿宋" w:cs="Calibri" w:hint="eastAsia"/>
          <w:sz w:val="32"/>
          <w:szCs w:val="32"/>
        </w:rPr>
        <w:t>（十</w:t>
      </w:r>
      <w:r w:rsidR="00C14DBF">
        <w:rPr>
          <w:rFonts w:ascii="仿宋" w:eastAsia="仿宋" w:hAnsi="仿宋" w:cs="Calibri" w:hint="eastAsia"/>
          <w:sz w:val="32"/>
          <w:szCs w:val="32"/>
        </w:rPr>
        <w:t>）政府采购支出：纳入部门预算范围的各项政府采购支出金额。</w:t>
      </w:r>
    </w:p>
    <w:p w:rsidR="00E47947" w:rsidRPr="007F59EE" w:rsidRDefault="00E47947" w:rsidP="007F59EE">
      <w:pPr>
        <w:pStyle w:val="a3"/>
        <w:shd w:val="clear" w:color="auto" w:fill="FFFFFF"/>
        <w:snapToGrid w:val="0"/>
        <w:spacing w:before="0" w:beforeAutospacing="0" w:after="0" w:afterAutospacing="0" w:line="558" w:lineRule="atLeast"/>
        <w:ind w:firstLine="640"/>
        <w:jc w:val="both"/>
        <w:rPr>
          <w:rFonts w:ascii="仿宋" w:eastAsia="仿宋" w:hAnsi="仿宋" w:cs="Calibri"/>
          <w:sz w:val="32"/>
          <w:szCs w:val="32"/>
        </w:rPr>
      </w:pPr>
    </w:p>
    <w:sectPr w:rsidR="00E47947" w:rsidRPr="007F59EE" w:rsidSect="007F59EE">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4D8" w:rsidRDefault="008364D8" w:rsidP="007F59EE">
      <w:r>
        <w:separator/>
      </w:r>
    </w:p>
  </w:endnote>
  <w:endnote w:type="continuationSeparator" w:id="1">
    <w:p w:rsidR="008364D8" w:rsidRDefault="008364D8" w:rsidP="007F5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4D8" w:rsidRDefault="008364D8" w:rsidP="007F59EE">
      <w:r>
        <w:separator/>
      </w:r>
    </w:p>
  </w:footnote>
  <w:footnote w:type="continuationSeparator" w:id="1">
    <w:p w:rsidR="008364D8" w:rsidRDefault="008364D8" w:rsidP="007F5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4DBF"/>
    <w:rsid w:val="0005341C"/>
    <w:rsid w:val="001B13D4"/>
    <w:rsid w:val="00377349"/>
    <w:rsid w:val="004D7BD3"/>
    <w:rsid w:val="00533F7D"/>
    <w:rsid w:val="0058042B"/>
    <w:rsid w:val="00684E52"/>
    <w:rsid w:val="006F55E7"/>
    <w:rsid w:val="007F59EE"/>
    <w:rsid w:val="008364D8"/>
    <w:rsid w:val="00C14DBF"/>
    <w:rsid w:val="00C36BB9"/>
    <w:rsid w:val="00D07A86"/>
    <w:rsid w:val="00E47947"/>
    <w:rsid w:val="00E56F15"/>
    <w:rsid w:val="00EE21CF"/>
    <w:rsid w:val="00F346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4DB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7F59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F59EE"/>
    <w:rPr>
      <w:sz w:val="18"/>
      <w:szCs w:val="18"/>
    </w:rPr>
  </w:style>
  <w:style w:type="paragraph" w:styleId="a5">
    <w:name w:val="footer"/>
    <w:basedOn w:val="a"/>
    <w:link w:val="Char0"/>
    <w:uiPriority w:val="99"/>
    <w:semiHidden/>
    <w:unhideWhenUsed/>
    <w:rsid w:val="007F59E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F59EE"/>
    <w:rPr>
      <w:sz w:val="18"/>
      <w:szCs w:val="18"/>
    </w:rPr>
  </w:style>
</w:styles>
</file>

<file path=word/webSettings.xml><?xml version="1.0" encoding="utf-8"?>
<w:webSettings xmlns:r="http://schemas.openxmlformats.org/officeDocument/2006/relationships" xmlns:w="http://schemas.openxmlformats.org/wordprocessingml/2006/main">
  <w:divs>
    <w:div w:id="1795784161">
      <w:bodyDiv w:val="1"/>
      <w:marLeft w:val="0"/>
      <w:marRight w:val="0"/>
      <w:marTop w:val="0"/>
      <w:marBottom w:val="0"/>
      <w:divBdr>
        <w:top w:val="none" w:sz="0" w:space="0" w:color="auto"/>
        <w:left w:val="none" w:sz="0" w:space="0" w:color="auto"/>
        <w:bottom w:val="none" w:sz="0" w:space="0" w:color="auto"/>
        <w:right w:val="none" w:sz="0" w:space="0" w:color="auto"/>
      </w:divBdr>
      <w:divsChild>
        <w:div w:id="1380278311">
          <w:marLeft w:val="0"/>
          <w:marRight w:val="0"/>
          <w:marTop w:val="100"/>
          <w:marBottom w:val="100"/>
          <w:divBdr>
            <w:top w:val="none" w:sz="0" w:space="0" w:color="auto"/>
            <w:left w:val="none" w:sz="0" w:space="0" w:color="auto"/>
            <w:bottom w:val="none" w:sz="0" w:space="0" w:color="auto"/>
            <w:right w:val="none" w:sz="0" w:space="0" w:color="auto"/>
          </w:divBdr>
          <w:divsChild>
            <w:div w:id="1958945850">
              <w:marLeft w:val="0"/>
              <w:marRight w:val="0"/>
              <w:marTop w:val="0"/>
              <w:marBottom w:val="0"/>
              <w:divBdr>
                <w:top w:val="none" w:sz="0" w:space="0" w:color="auto"/>
                <w:left w:val="none" w:sz="0" w:space="0" w:color="auto"/>
                <w:bottom w:val="none" w:sz="0" w:space="0" w:color="auto"/>
                <w:right w:val="none" w:sz="0" w:space="0" w:color="auto"/>
              </w:divBdr>
              <w:divsChild>
                <w:div w:id="1548820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06779505">
      <w:bodyDiv w:val="1"/>
      <w:marLeft w:val="0"/>
      <w:marRight w:val="0"/>
      <w:marTop w:val="0"/>
      <w:marBottom w:val="0"/>
      <w:divBdr>
        <w:top w:val="none" w:sz="0" w:space="0" w:color="auto"/>
        <w:left w:val="none" w:sz="0" w:space="0" w:color="auto"/>
        <w:bottom w:val="none" w:sz="0" w:space="0" w:color="auto"/>
        <w:right w:val="none" w:sz="0" w:space="0" w:color="auto"/>
      </w:divBdr>
      <w:divsChild>
        <w:div w:id="1544832575">
          <w:marLeft w:val="0"/>
          <w:marRight w:val="0"/>
          <w:marTop w:val="100"/>
          <w:marBottom w:val="100"/>
          <w:divBdr>
            <w:top w:val="none" w:sz="0" w:space="0" w:color="auto"/>
            <w:left w:val="none" w:sz="0" w:space="0" w:color="auto"/>
            <w:bottom w:val="none" w:sz="0" w:space="0" w:color="auto"/>
            <w:right w:val="none" w:sz="0" w:space="0" w:color="auto"/>
          </w:divBdr>
          <w:divsChild>
            <w:div w:id="727069812">
              <w:marLeft w:val="0"/>
              <w:marRight w:val="0"/>
              <w:marTop w:val="0"/>
              <w:marBottom w:val="0"/>
              <w:divBdr>
                <w:top w:val="none" w:sz="0" w:space="0" w:color="auto"/>
                <w:left w:val="none" w:sz="0" w:space="0" w:color="auto"/>
                <w:bottom w:val="none" w:sz="0" w:space="0" w:color="auto"/>
                <w:right w:val="none" w:sz="0" w:space="0" w:color="auto"/>
              </w:divBdr>
              <w:divsChild>
                <w:div w:id="861822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415</Words>
  <Characters>2371</Characters>
  <Application>Microsoft Office Word</Application>
  <DocSecurity>0</DocSecurity>
  <Lines>19</Lines>
  <Paragraphs>5</Paragraphs>
  <ScaleCrop>false</ScaleCrop>
  <Company>Microsoft</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6</cp:revision>
  <dcterms:created xsi:type="dcterms:W3CDTF">2018-03-22T00:30:00Z</dcterms:created>
  <dcterms:modified xsi:type="dcterms:W3CDTF">2018-06-19T02:46:00Z</dcterms:modified>
</cp:coreProperties>
</file>